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15" w:lineRule="atLeast"/>
        <w:ind w:left="921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浙江冠豪新材料有限公司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ind w:left="921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不干胶处理品竞价出售方案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>
      <w:pPr>
        <w:pStyle w:val="4"/>
        <w:shd w:val="clear" w:color="auto" w:fill="FFFFFF"/>
        <w:spacing w:before="0" w:beforeAutospacing="0" w:after="0" w:afterAutospacing="0" w:line="315" w:lineRule="atLeast"/>
        <w:ind w:left="42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1、物资名称：不干胶处理品</w:t>
      </w:r>
    </w:p>
    <w:tbl>
      <w:tblPr>
        <w:tblStyle w:val="5"/>
        <w:tblW w:w="77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8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处理品品类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半成品处理品(长度≥500m）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产成品处理品（≥50mm且＜80mm 规格）纸卷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产成品处理品（≥80mm宽幅≤120mm 规格）纸卷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产成品处理品（宽幅＞120mm规格）纸卷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离型纸处理品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半成品余头（≥200m长度＜500m）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6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原纸类(热敏纸、无碳纸等过期面材、底材)等处理品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（2024年以上规格产品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出售</w:t>
      </w:r>
      <w:r>
        <w:rPr>
          <w:rFonts w:hint="eastAsia" w:ascii="仿宋" w:hAnsi="仿宋" w:eastAsia="仿宋" w:cs="仿宋"/>
          <w:sz w:val="28"/>
          <w:szCs w:val="28"/>
        </w:rPr>
        <w:t>约1410吨，其中半成品470吨、产成品900吨、其他40吨）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2、物资地点及数量</w:t>
      </w:r>
      <w:r>
        <w:rPr>
          <w:rFonts w:hint="eastAsia" w:ascii="仿宋" w:hAnsi="仿宋" w:eastAsia="仿宋" w:cs="仿宋"/>
          <w:sz w:val="28"/>
          <w:szCs w:val="28"/>
        </w:rPr>
        <w:t>：物资分别位于我司嘉兴平湖、广东湛江、广州、天津四地厂区，数量以各厂区实际产出出库数为准 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二、物资处理方式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采用计量、计费处理，处理品统一打包销售，不剔除托盘与纸管芯重量，通过过磅称重确定重量。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物资出厂后，不接受任何产品质量问题的投诉及退货事宜。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买方派车到我司厂区提货，自行承担运费，我司提供装货服务。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三、结算方式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遵循先款后货原则，根据实际出库数量，当月结清余款，卖方在当月 30 日前开出发票。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四、参与竞价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出售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人资格条件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参与竞价者必须具备独立的营业执照及相关资历，营业执照经营范围须包含印刷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纸制品加工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及类似描述的</w:t>
      </w:r>
      <w:r>
        <w:rPr>
          <w:rFonts w:hint="eastAsia" w:ascii="仿宋" w:hAnsi="仿宋" w:eastAsia="仿宋" w:cs="仿宋"/>
          <w:sz w:val="28"/>
          <w:szCs w:val="28"/>
        </w:rPr>
        <w:t>经营范围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非贸易公司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，具备相应的风险承担能力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</w:rPr>
        <w:t>文件中提供具有履行合同所必需的设备和专业技术能力的书面声明。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参与竞价的客户须信用良好，无因未履行欠款义务而导致的诉讼纠纷等不良信用情形。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参与竞价的客户须保证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自用，不得对外出售原材料，冲击及影响我司正常价格体系</w:t>
      </w:r>
      <w:r>
        <w:rPr>
          <w:rFonts w:hint="eastAsia" w:ascii="仿宋" w:hAnsi="仿宋" w:eastAsia="仿宋" w:cs="仿宋"/>
          <w:sz w:val="28"/>
          <w:szCs w:val="28"/>
        </w:rPr>
        <w:t>。如有违反则取消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并没收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履约保证金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left="36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竞价者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需提供1、营业执照2、在“中国政府购买服务信息平台”上查询的“政府采购严重违法失信行为信息记录”并盖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全国法院失信被执行人名单信息公布与查询并盖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4、信用中国网查询信用报告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并盖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；法定代表人（或者负责人）资格证明复印件及法定代表人（或者负责人）授权委托书原件加盖公章；（若参加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的代表为法定代表人，则不需提供法定代表人（或者负责人）授权委托书）；</w:t>
      </w:r>
    </w:p>
    <w:p>
      <w:pPr>
        <w:ind w:left="3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备注：2-4条存在异常的将取消竞价资格。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五、押金规定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金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50000.00人民币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>伍万元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整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sz w:val="28"/>
          <w:szCs w:val="28"/>
        </w:rPr>
        <w:t>前需转账到我司指定账户（开户名：浙江冠豪新材料有限公司；开户行：中国银行平湖新仓支行；账号：387065484889），转账凭证作为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参与竞价</w:t>
      </w:r>
      <w:r>
        <w:rPr>
          <w:rFonts w:hint="eastAsia" w:ascii="仿宋" w:hAnsi="仿宋" w:eastAsia="仿宋" w:cs="仿宋"/>
          <w:sz w:val="28"/>
          <w:szCs w:val="28"/>
        </w:rPr>
        <w:t>的附件内容。未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成交客户将在竞价项目评定结束后5个工作日内</w:t>
      </w:r>
      <w:r>
        <w:rPr>
          <w:rFonts w:hint="eastAsia" w:ascii="仿宋" w:hAnsi="仿宋" w:eastAsia="仿宋" w:cs="仿宋"/>
          <w:sz w:val="28"/>
          <w:szCs w:val="28"/>
        </w:rPr>
        <w:t>全额退还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自动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放弃</w:t>
      </w:r>
      <w:r>
        <w:rPr>
          <w:rFonts w:hint="eastAsia" w:ascii="仿宋" w:hAnsi="仿宋" w:eastAsia="仿宋" w:cs="仿宋"/>
          <w:sz w:val="28"/>
          <w:szCs w:val="28"/>
        </w:rPr>
        <w:t>者不予退还。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履约保证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金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200000.00人民币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为贰拾万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元整</w:t>
      </w:r>
      <w:r>
        <w:rPr>
          <w:rFonts w:hint="eastAsia" w:ascii="仿宋" w:hAnsi="仿宋" w:eastAsia="仿宋" w:cs="仿宋"/>
          <w:sz w:val="28"/>
          <w:szCs w:val="28"/>
        </w:rPr>
        <w:t>，以电子转账形式，在签订合同之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后5个工作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</w:t>
      </w:r>
      <w:r>
        <w:rPr>
          <w:rFonts w:hint="eastAsia" w:ascii="仿宋" w:hAnsi="仿宋" w:eastAsia="仿宋" w:cs="仿宋"/>
          <w:sz w:val="28"/>
          <w:szCs w:val="28"/>
        </w:rPr>
        <w:t>缴交。合同履约期满后，不计息全额退还；若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合同期间</w:t>
      </w:r>
      <w:r>
        <w:rPr>
          <w:rFonts w:hint="eastAsia" w:ascii="仿宋" w:hAnsi="仿宋" w:eastAsia="仿宋" w:cs="仿宋"/>
          <w:sz w:val="28"/>
          <w:szCs w:val="28"/>
        </w:rPr>
        <w:t>不履行条约按时拉货，我司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有权扣除部分履约保证金</w:t>
      </w:r>
      <w:r>
        <w:rPr>
          <w:rFonts w:hint="eastAsia" w:ascii="仿宋" w:hAnsi="仿宋" w:eastAsia="仿宋" w:cs="仿宋"/>
          <w:sz w:val="28"/>
          <w:szCs w:val="28"/>
        </w:rPr>
        <w:t>，并主张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相应</w:t>
      </w:r>
      <w:r>
        <w:rPr>
          <w:rFonts w:hint="eastAsia" w:ascii="仿宋" w:hAnsi="仿宋" w:eastAsia="仿宋" w:cs="仿宋"/>
          <w:sz w:val="28"/>
          <w:szCs w:val="28"/>
        </w:rPr>
        <w:t>的权益。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六、竞价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出售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周期及提货要求</w:t>
      </w:r>
    </w:p>
    <w:p>
      <w:pPr>
        <w:numPr>
          <w:ilvl w:val="0"/>
          <w:numId w:val="5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本次竞价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出售</w:t>
      </w:r>
      <w:r>
        <w:rPr>
          <w:rFonts w:hint="eastAsia" w:ascii="仿宋" w:hAnsi="仿宋" w:eastAsia="仿宋" w:cs="仿宋"/>
          <w:sz w:val="28"/>
          <w:szCs w:val="28"/>
        </w:rPr>
        <w:t>采用定期式集中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sz w:val="28"/>
          <w:szCs w:val="28"/>
        </w:rPr>
        <w:t>，每年一次。</w:t>
      </w:r>
    </w:p>
    <w:p>
      <w:pPr>
        <w:numPr>
          <w:ilvl w:val="0"/>
          <w:numId w:val="5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成交客户</w:t>
      </w:r>
      <w:r>
        <w:rPr>
          <w:rFonts w:hint="eastAsia" w:ascii="仿宋" w:hAnsi="仿宋" w:eastAsia="仿宋" w:cs="仿宋"/>
          <w:sz w:val="28"/>
          <w:szCs w:val="28"/>
        </w:rPr>
        <w:t>需按照我司要求在天津、平湖、广州、湛江厂区仓库提货至少一次，若因买方原因未能按要求拉货，将扣罚买方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相应的</w:t>
      </w:r>
      <w:r>
        <w:rPr>
          <w:rFonts w:hint="eastAsia" w:ascii="仿宋" w:hAnsi="仿宋" w:eastAsia="仿宋" w:cs="仿宋"/>
          <w:sz w:val="28"/>
          <w:szCs w:val="28"/>
        </w:rPr>
        <w:t>履约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</w:t>
      </w:r>
      <w:r>
        <w:rPr>
          <w:rFonts w:hint="eastAsia" w:ascii="仿宋" w:hAnsi="仿宋" w:eastAsia="仿宋" w:cs="仿宋"/>
          <w:sz w:val="28"/>
          <w:szCs w:val="28"/>
        </w:rPr>
        <w:t>金。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流程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有意向的竞价方仔细阅读本竞价出售方案，确认符合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竞价参与</w:t>
      </w:r>
      <w:r>
        <w:rPr>
          <w:rFonts w:hint="eastAsia" w:ascii="仿宋" w:hAnsi="仿宋" w:eastAsia="仿宋" w:cs="仿宋"/>
          <w:sz w:val="28"/>
          <w:szCs w:val="28"/>
        </w:rPr>
        <w:t>条件。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按要求准备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sz w:val="28"/>
          <w:szCs w:val="28"/>
        </w:rPr>
        <w:t>文件，包含但不限于公司营业执照、相关资历证明、报价单等，并附上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项目保证金</w:t>
      </w:r>
      <w:r>
        <w:rPr>
          <w:rFonts w:hint="eastAsia" w:ascii="仿宋" w:hAnsi="仿宋" w:eastAsia="仿宋" w:cs="仿宋"/>
          <w:sz w:val="28"/>
          <w:szCs w:val="28"/>
        </w:rPr>
        <w:t>转账凭证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6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在规定的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材料提交</w:t>
      </w:r>
      <w:r>
        <w:rPr>
          <w:rFonts w:hint="eastAsia" w:ascii="仿宋" w:hAnsi="仿宋" w:eastAsia="仿宋" w:cs="仿宋"/>
          <w:sz w:val="28"/>
          <w:szCs w:val="28"/>
        </w:rPr>
        <w:t>截止时间前，将密封完好的文件送达我司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地址及联系人：</w:t>
      </w:r>
      <w:r>
        <w:rPr>
          <w:rFonts w:hint="eastAsia" w:ascii="仿宋" w:hAnsi="仿宋" w:eastAsia="仿宋" w:cs="仿宋"/>
          <w:sz w:val="28"/>
          <w:szCs w:val="28"/>
        </w:rPr>
        <w:t>浙江省平湖市新仓镇仓庆路888号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周瑞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13616835338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竞价出售评定</w:t>
      </w:r>
    </w:p>
    <w:p>
      <w:pPr>
        <w:numPr>
          <w:ilvl w:val="0"/>
          <w:numId w:val="7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我司将组建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评定</w:t>
      </w:r>
      <w:r>
        <w:rPr>
          <w:rFonts w:hint="eastAsia" w:ascii="仿宋" w:hAnsi="仿宋" w:eastAsia="仿宋" w:cs="仿宋"/>
          <w:sz w:val="28"/>
          <w:szCs w:val="28"/>
        </w:rPr>
        <w:t>小组，对收到的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文件进行评审，综合考虑竞价方的资质、报价、履约能力等因素。</w:t>
      </w:r>
    </w:p>
    <w:p>
      <w:pPr>
        <w:numPr>
          <w:ilvl w:val="0"/>
          <w:numId w:val="7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评定</w:t>
      </w:r>
      <w:r>
        <w:rPr>
          <w:rFonts w:hint="eastAsia" w:ascii="仿宋" w:hAnsi="仿宋" w:eastAsia="仿宋" w:cs="仿宋"/>
          <w:sz w:val="28"/>
          <w:szCs w:val="28"/>
        </w:rPr>
        <w:t>结束后，确定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成交客户</w:t>
      </w:r>
      <w:r>
        <w:rPr>
          <w:rFonts w:hint="eastAsia" w:ascii="仿宋" w:hAnsi="仿宋" w:eastAsia="仿宋" w:cs="仿宋"/>
          <w:sz w:val="28"/>
          <w:szCs w:val="28"/>
        </w:rPr>
        <w:t>，并在规定时间内通知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成交客户</w:t>
      </w:r>
      <w:r>
        <w:rPr>
          <w:rFonts w:hint="eastAsia" w:ascii="仿宋" w:hAnsi="仿宋" w:eastAsia="仿宋" w:cs="仿宋"/>
          <w:sz w:val="28"/>
          <w:szCs w:val="28"/>
        </w:rPr>
        <w:t>与未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成交客户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成交客户</w:t>
      </w:r>
      <w:r>
        <w:rPr>
          <w:rFonts w:hint="eastAsia" w:ascii="仿宋" w:hAnsi="仿宋" w:eastAsia="仿宋" w:cs="仿宋"/>
          <w:sz w:val="28"/>
          <w:szCs w:val="28"/>
        </w:rPr>
        <w:t>需在收到通知后的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5个工作日</w:t>
      </w:r>
      <w:r>
        <w:rPr>
          <w:rFonts w:hint="eastAsia" w:ascii="仿宋" w:hAnsi="仿宋" w:eastAsia="仿宋" w:cs="仿宋"/>
          <w:sz w:val="28"/>
          <w:szCs w:val="28"/>
        </w:rPr>
        <w:t>内与我司签订合同并缴纳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履约保证金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九、其他说明</w:t>
      </w:r>
    </w:p>
    <w:p>
      <w:pPr>
        <w:numPr>
          <w:ilvl w:val="0"/>
          <w:numId w:val="8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本竞价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出售</w:t>
      </w:r>
      <w:r>
        <w:rPr>
          <w:rFonts w:hint="eastAsia" w:ascii="仿宋" w:hAnsi="仿宋" w:eastAsia="仿宋" w:cs="仿宋"/>
          <w:sz w:val="28"/>
          <w:szCs w:val="28"/>
        </w:rPr>
        <w:t>方案的最终解释权归浙江冠豪新材料有限公司所有。</w:t>
      </w:r>
    </w:p>
    <w:p>
      <w:pPr>
        <w:numPr>
          <w:ilvl w:val="0"/>
          <w:numId w:val="8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在合同签订前的任何时间，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卖方</w:t>
      </w:r>
      <w:r>
        <w:rPr>
          <w:rFonts w:hint="eastAsia" w:ascii="仿宋" w:hAnsi="仿宋" w:eastAsia="仿宋" w:cs="仿宋"/>
          <w:sz w:val="28"/>
          <w:szCs w:val="28"/>
        </w:rPr>
        <w:t>有权终止本次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竟价出售</w:t>
      </w:r>
      <w:r>
        <w:rPr>
          <w:rFonts w:hint="eastAsia" w:ascii="仿宋" w:hAnsi="仿宋" w:eastAsia="仿宋" w:cs="仿宋"/>
          <w:sz w:val="28"/>
          <w:szCs w:val="28"/>
        </w:rPr>
        <w:t>项目，且不对受影响的单位作任何补偿或解释。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浙江冠豪新材料有限公司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B1857"/>
    <w:multiLevelType w:val="multilevel"/>
    <w:tmpl w:val="15DB18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3B011F"/>
    <w:multiLevelType w:val="multilevel"/>
    <w:tmpl w:val="1E3B01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F9D7568"/>
    <w:multiLevelType w:val="multilevel"/>
    <w:tmpl w:val="1F9D75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D471680"/>
    <w:multiLevelType w:val="multilevel"/>
    <w:tmpl w:val="3D47168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E480942"/>
    <w:multiLevelType w:val="multilevel"/>
    <w:tmpl w:val="3E4809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D07557E"/>
    <w:multiLevelType w:val="multilevel"/>
    <w:tmpl w:val="4D07557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6D592CFE"/>
    <w:multiLevelType w:val="multilevel"/>
    <w:tmpl w:val="6D592C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C95026"/>
    <w:multiLevelType w:val="multilevel"/>
    <w:tmpl w:val="6FC950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NmM5ZDAzNDk0MDFjYmQxMmEwNGFjMjg0ZDJiYjUifQ=="/>
  </w:docVars>
  <w:rsids>
    <w:rsidRoot w:val="005F52F3"/>
    <w:rsid w:val="00004272"/>
    <w:rsid w:val="000050DC"/>
    <w:rsid w:val="000514E9"/>
    <w:rsid w:val="00060ABA"/>
    <w:rsid w:val="000738EF"/>
    <w:rsid w:val="000832C7"/>
    <w:rsid w:val="000918C7"/>
    <w:rsid w:val="000A5469"/>
    <w:rsid w:val="000C2636"/>
    <w:rsid w:val="000D4635"/>
    <w:rsid w:val="000F1911"/>
    <w:rsid w:val="00125F75"/>
    <w:rsid w:val="0012758B"/>
    <w:rsid w:val="0013072A"/>
    <w:rsid w:val="00136EAF"/>
    <w:rsid w:val="00153CD1"/>
    <w:rsid w:val="00154A04"/>
    <w:rsid w:val="00164556"/>
    <w:rsid w:val="00166601"/>
    <w:rsid w:val="001710E3"/>
    <w:rsid w:val="00175D3C"/>
    <w:rsid w:val="001803FC"/>
    <w:rsid w:val="00191C60"/>
    <w:rsid w:val="001E0126"/>
    <w:rsid w:val="001E1416"/>
    <w:rsid w:val="0020126A"/>
    <w:rsid w:val="00220C4C"/>
    <w:rsid w:val="00235A7B"/>
    <w:rsid w:val="00247F2D"/>
    <w:rsid w:val="002558DD"/>
    <w:rsid w:val="00271130"/>
    <w:rsid w:val="00272542"/>
    <w:rsid w:val="00292C4B"/>
    <w:rsid w:val="002939CF"/>
    <w:rsid w:val="0029558E"/>
    <w:rsid w:val="00297B3D"/>
    <w:rsid w:val="002D7280"/>
    <w:rsid w:val="00330846"/>
    <w:rsid w:val="00336189"/>
    <w:rsid w:val="003838EE"/>
    <w:rsid w:val="00390B87"/>
    <w:rsid w:val="00395061"/>
    <w:rsid w:val="003A11A7"/>
    <w:rsid w:val="003A2AE1"/>
    <w:rsid w:val="003A4674"/>
    <w:rsid w:val="003B3634"/>
    <w:rsid w:val="003C5A62"/>
    <w:rsid w:val="003C734C"/>
    <w:rsid w:val="003D308A"/>
    <w:rsid w:val="003D56A3"/>
    <w:rsid w:val="003D5EE0"/>
    <w:rsid w:val="003D6ECA"/>
    <w:rsid w:val="003E474E"/>
    <w:rsid w:val="003F07F3"/>
    <w:rsid w:val="004043B0"/>
    <w:rsid w:val="00412BE5"/>
    <w:rsid w:val="00416606"/>
    <w:rsid w:val="0043695D"/>
    <w:rsid w:val="00437405"/>
    <w:rsid w:val="00450961"/>
    <w:rsid w:val="0046351F"/>
    <w:rsid w:val="00475CB6"/>
    <w:rsid w:val="00482CC0"/>
    <w:rsid w:val="00497D4D"/>
    <w:rsid w:val="004A7400"/>
    <w:rsid w:val="004C05A2"/>
    <w:rsid w:val="004D464A"/>
    <w:rsid w:val="004E06A0"/>
    <w:rsid w:val="004F66AA"/>
    <w:rsid w:val="005118EB"/>
    <w:rsid w:val="005454F0"/>
    <w:rsid w:val="00554733"/>
    <w:rsid w:val="0057702C"/>
    <w:rsid w:val="00580996"/>
    <w:rsid w:val="00591AD1"/>
    <w:rsid w:val="00595429"/>
    <w:rsid w:val="00597666"/>
    <w:rsid w:val="005C19A5"/>
    <w:rsid w:val="005C34E3"/>
    <w:rsid w:val="005D058F"/>
    <w:rsid w:val="005D6859"/>
    <w:rsid w:val="005D72BE"/>
    <w:rsid w:val="005F1EC5"/>
    <w:rsid w:val="005F2929"/>
    <w:rsid w:val="005F52F3"/>
    <w:rsid w:val="005F58AC"/>
    <w:rsid w:val="00604938"/>
    <w:rsid w:val="00624DC5"/>
    <w:rsid w:val="00630694"/>
    <w:rsid w:val="006307B4"/>
    <w:rsid w:val="00643964"/>
    <w:rsid w:val="00685AD7"/>
    <w:rsid w:val="0069066D"/>
    <w:rsid w:val="00695F0E"/>
    <w:rsid w:val="006B0CE7"/>
    <w:rsid w:val="006D64FB"/>
    <w:rsid w:val="006D6FB1"/>
    <w:rsid w:val="006E1374"/>
    <w:rsid w:val="006E3FCA"/>
    <w:rsid w:val="006F3CF5"/>
    <w:rsid w:val="00713883"/>
    <w:rsid w:val="00715FB9"/>
    <w:rsid w:val="00716924"/>
    <w:rsid w:val="00743629"/>
    <w:rsid w:val="00752B2D"/>
    <w:rsid w:val="00770C06"/>
    <w:rsid w:val="00780828"/>
    <w:rsid w:val="00787C89"/>
    <w:rsid w:val="00790429"/>
    <w:rsid w:val="0079173A"/>
    <w:rsid w:val="007C6D7E"/>
    <w:rsid w:val="007F1281"/>
    <w:rsid w:val="007F1FCF"/>
    <w:rsid w:val="00800618"/>
    <w:rsid w:val="0080129F"/>
    <w:rsid w:val="00814C58"/>
    <w:rsid w:val="00821FBF"/>
    <w:rsid w:val="00822BBA"/>
    <w:rsid w:val="00825DD3"/>
    <w:rsid w:val="00825EE7"/>
    <w:rsid w:val="00831167"/>
    <w:rsid w:val="008421D5"/>
    <w:rsid w:val="00863B6E"/>
    <w:rsid w:val="00882B10"/>
    <w:rsid w:val="00883E8E"/>
    <w:rsid w:val="008B2BEA"/>
    <w:rsid w:val="008B40AA"/>
    <w:rsid w:val="008C7742"/>
    <w:rsid w:val="008D3B84"/>
    <w:rsid w:val="008D4384"/>
    <w:rsid w:val="008F20AB"/>
    <w:rsid w:val="00900521"/>
    <w:rsid w:val="009027C5"/>
    <w:rsid w:val="00903141"/>
    <w:rsid w:val="009101CE"/>
    <w:rsid w:val="00914E9A"/>
    <w:rsid w:val="00933246"/>
    <w:rsid w:val="00943B6F"/>
    <w:rsid w:val="00955396"/>
    <w:rsid w:val="0095610A"/>
    <w:rsid w:val="00957802"/>
    <w:rsid w:val="00957BB1"/>
    <w:rsid w:val="00974C43"/>
    <w:rsid w:val="00982D99"/>
    <w:rsid w:val="00983178"/>
    <w:rsid w:val="00984F24"/>
    <w:rsid w:val="00993ABF"/>
    <w:rsid w:val="009A4122"/>
    <w:rsid w:val="009B0C32"/>
    <w:rsid w:val="009E0198"/>
    <w:rsid w:val="009E364A"/>
    <w:rsid w:val="009F07C1"/>
    <w:rsid w:val="00A100D9"/>
    <w:rsid w:val="00A36973"/>
    <w:rsid w:val="00A53909"/>
    <w:rsid w:val="00A54C34"/>
    <w:rsid w:val="00A57EB2"/>
    <w:rsid w:val="00A6233A"/>
    <w:rsid w:val="00AA0197"/>
    <w:rsid w:val="00AA1A53"/>
    <w:rsid w:val="00AA2813"/>
    <w:rsid w:val="00AB1178"/>
    <w:rsid w:val="00AB5023"/>
    <w:rsid w:val="00AD353C"/>
    <w:rsid w:val="00AE5F6D"/>
    <w:rsid w:val="00AE6638"/>
    <w:rsid w:val="00AE6AD6"/>
    <w:rsid w:val="00AF1450"/>
    <w:rsid w:val="00B06B26"/>
    <w:rsid w:val="00B109CF"/>
    <w:rsid w:val="00B1436E"/>
    <w:rsid w:val="00B16C03"/>
    <w:rsid w:val="00B51ECA"/>
    <w:rsid w:val="00B52345"/>
    <w:rsid w:val="00B56F53"/>
    <w:rsid w:val="00B6052E"/>
    <w:rsid w:val="00B62857"/>
    <w:rsid w:val="00B6425C"/>
    <w:rsid w:val="00B65CE4"/>
    <w:rsid w:val="00B74003"/>
    <w:rsid w:val="00B86AF3"/>
    <w:rsid w:val="00B875F6"/>
    <w:rsid w:val="00B92D9C"/>
    <w:rsid w:val="00B9539D"/>
    <w:rsid w:val="00BC63BF"/>
    <w:rsid w:val="00BD1BC4"/>
    <w:rsid w:val="00BD5F29"/>
    <w:rsid w:val="00BF51C6"/>
    <w:rsid w:val="00BF6FA6"/>
    <w:rsid w:val="00C034EF"/>
    <w:rsid w:val="00C1032F"/>
    <w:rsid w:val="00C14040"/>
    <w:rsid w:val="00C149F4"/>
    <w:rsid w:val="00C4093C"/>
    <w:rsid w:val="00C435BE"/>
    <w:rsid w:val="00C46C75"/>
    <w:rsid w:val="00C51405"/>
    <w:rsid w:val="00C705F5"/>
    <w:rsid w:val="00C842A4"/>
    <w:rsid w:val="00C91068"/>
    <w:rsid w:val="00CA0501"/>
    <w:rsid w:val="00CA620D"/>
    <w:rsid w:val="00CB0544"/>
    <w:rsid w:val="00CD3E63"/>
    <w:rsid w:val="00CE0B38"/>
    <w:rsid w:val="00CE7F03"/>
    <w:rsid w:val="00D17646"/>
    <w:rsid w:val="00D40E14"/>
    <w:rsid w:val="00D50E69"/>
    <w:rsid w:val="00D67005"/>
    <w:rsid w:val="00D7639F"/>
    <w:rsid w:val="00D77932"/>
    <w:rsid w:val="00D87138"/>
    <w:rsid w:val="00D90B13"/>
    <w:rsid w:val="00D923D2"/>
    <w:rsid w:val="00D97D79"/>
    <w:rsid w:val="00DA2E71"/>
    <w:rsid w:val="00DB33D9"/>
    <w:rsid w:val="00DC4612"/>
    <w:rsid w:val="00DC487D"/>
    <w:rsid w:val="00DC7BDA"/>
    <w:rsid w:val="00DD02F1"/>
    <w:rsid w:val="00DD2E9B"/>
    <w:rsid w:val="00DE3461"/>
    <w:rsid w:val="00DF6C5B"/>
    <w:rsid w:val="00DF7A44"/>
    <w:rsid w:val="00E0180B"/>
    <w:rsid w:val="00E05137"/>
    <w:rsid w:val="00E05ADE"/>
    <w:rsid w:val="00E20723"/>
    <w:rsid w:val="00E324D9"/>
    <w:rsid w:val="00E41520"/>
    <w:rsid w:val="00E46B6C"/>
    <w:rsid w:val="00E4701E"/>
    <w:rsid w:val="00E57D9A"/>
    <w:rsid w:val="00E63638"/>
    <w:rsid w:val="00E6626E"/>
    <w:rsid w:val="00E66590"/>
    <w:rsid w:val="00E769B9"/>
    <w:rsid w:val="00E8152B"/>
    <w:rsid w:val="00E97411"/>
    <w:rsid w:val="00EB4DF6"/>
    <w:rsid w:val="00EC2D03"/>
    <w:rsid w:val="00EC5BC9"/>
    <w:rsid w:val="00EE1AAF"/>
    <w:rsid w:val="00EE5095"/>
    <w:rsid w:val="00EF421F"/>
    <w:rsid w:val="00EF6DB5"/>
    <w:rsid w:val="00F01BBE"/>
    <w:rsid w:val="00F01CEA"/>
    <w:rsid w:val="00F03B27"/>
    <w:rsid w:val="00F102E2"/>
    <w:rsid w:val="00F16290"/>
    <w:rsid w:val="00F16F53"/>
    <w:rsid w:val="00F2068E"/>
    <w:rsid w:val="00F2076E"/>
    <w:rsid w:val="00F460EA"/>
    <w:rsid w:val="00F50238"/>
    <w:rsid w:val="00F54447"/>
    <w:rsid w:val="00F552EE"/>
    <w:rsid w:val="00F55EDA"/>
    <w:rsid w:val="00F710B1"/>
    <w:rsid w:val="00F849A0"/>
    <w:rsid w:val="00FB044C"/>
    <w:rsid w:val="00FB3BF4"/>
    <w:rsid w:val="00FB743A"/>
    <w:rsid w:val="00FE4B15"/>
    <w:rsid w:val="00FF0019"/>
    <w:rsid w:val="028F2723"/>
    <w:rsid w:val="0EAA4EB7"/>
    <w:rsid w:val="111C094A"/>
    <w:rsid w:val="1C37006D"/>
    <w:rsid w:val="2F250206"/>
    <w:rsid w:val="2FEE5C7D"/>
    <w:rsid w:val="39CB3764"/>
    <w:rsid w:val="53E440F9"/>
    <w:rsid w:val="5BA957BB"/>
    <w:rsid w:val="5F9F473F"/>
    <w:rsid w:val="65F45492"/>
    <w:rsid w:val="6BE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1531</Words>
  <Characters>1614</Characters>
  <Lines>9</Lines>
  <Paragraphs>2</Paragraphs>
  <TotalTime>48</TotalTime>
  <ScaleCrop>false</ScaleCrop>
  <LinksUpToDate>false</LinksUpToDate>
  <CharactersWithSpaces>1619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2025-05-28T09:14:00Z</dcterms:created>
  <dc:creator>吕淑珠</dc:creator>
  <cp:lastModifiedBy>MJ&amp;N</cp:lastModifiedBy>
  <dcterms:modified xsi:type="dcterms:W3CDTF">2025-09-08T08:42:39Z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eyJoZGlkIjoiMmMzZDJkMWE0ZjU5YTUxNDljYzQ2ZGM3MjMxZWU5NGYiLCJ1c2VySWQiOiI1MjIyOTQzNTgifQ==</vt:lpwstr>
  </property>
  <property fmtid="{D5CDD505-2E9C-101B-9397-08002B2CF9AE}" pid="3" name="KSOProductBuildVer">
    <vt:lpwstr>2052-11.1.0.12165</vt:lpwstr>
  </property>
  <property fmtid="{D5CDD505-2E9C-101B-9397-08002B2CF9AE}" pid="4" name="ICV">
    <vt:lpwstr>1801CD8DF6F84132B968206ED610FF36</vt:lpwstr>
  </property>
</Properties>
</file>